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761C9" w:rsidRPr="00436439" w:rsidRDefault="001761C9" w:rsidP="001761C9">
      <w:pPr>
        <w:pStyle w:val="11"/>
        <w:ind w:left="0"/>
        <w:rPr>
          <w:rStyle w:val="10"/>
          <w:b/>
          <w:sz w:val="24"/>
          <w:szCs w:val="24"/>
        </w:rPr>
      </w:pPr>
      <w:r w:rsidRPr="00436439">
        <w:rPr>
          <w:rStyle w:val="10"/>
          <w:b/>
          <w:sz w:val="24"/>
          <w:szCs w:val="24"/>
        </w:rPr>
        <w:t xml:space="preserve">Особенности архитектуры SDN/NFV </w:t>
      </w:r>
      <w:proofErr w:type="spellStart"/>
      <w:r w:rsidRPr="00436439">
        <w:rPr>
          <w:rStyle w:val="10"/>
          <w:b/>
          <w:sz w:val="24"/>
          <w:szCs w:val="24"/>
        </w:rPr>
        <w:t>Verizon</w:t>
      </w:r>
      <w:proofErr w:type="spellEnd"/>
    </w:p>
    <w:p w:rsidR="001761C9" w:rsidRDefault="001761C9" w:rsidP="001761C9">
      <w:pPr>
        <w:pStyle w:val="a4"/>
      </w:pPr>
      <w:r>
        <w:t xml:space="preserve">Основная цель архитектуры </w:t>
      </w:r>
      <w:r>
        <w:rPr>
          <w:lang w:val="en-US"/>
        </w:rPr>
        <w:t>SDN</w:t>
      </w:r>
      <w:r w:rsidRPr="008215A8">
        <w:t>/</w:t>
      </w:r>
      <w:r>
        <w:rPr>
          <w:lang w:val="en-US"/>
        </w:rPr>
        <w:t>NFV</w:t>
      </w:r>
      <w:r w:rsidRPr="008215A8">
        <w:t xml:space="preserve"> </w:t>
      </w:r>
      <w:r>
        <w:rPr>
          <w:lang w:val="en-US"/>
        </w:rPr>
        <w:t>Verizon</w:t>
      </w:r>
      <w:r w:rsidRPr="008215A8">
        <w:t xml:space="preserve"> </w:t>
      </w:r>
      <w:r>
        <w:t xml:space="preserve">– повышение операционной эффективности и </w:t>
      </w:r>
      <w:r>
        <w:rPr>
          <w:lang w:val="en-US"/>
        </w:rPr>
        <w:t>agility</w:t>
      </w:r>
      <w:r w:rsidRPr="008215A8">
        <w:t xml:space="preserve"> </w:t>
      </w:r>
      <w:r>
        <w:t xml:space="preserve">услуг, экономия САРЕХ и ОРЕХ на </w:t>
      </w:r>
      <w:r>
        <w:rPr>
          <w:lang w:val="en-US"/>
        </w:rPr>
        <w:t>COTS</w:t>
      </w:r>
      <w:r>
        <w:t xml:space="preserve">-инфраструктуре </w:t>
      </w:r>
      <w:r>
        <w:rPr>
          <w:lang w:val="en-US"/>
        </w:rPr>
        <w:t>SDN</w:t>
      </w:r>
      <w:r w:rsidRPr="008215A8">
        <w:t>/</w:t>
      </w:r>
      <w:r>
        <w:rPr>
          <w:lang w:val="en-US"/>
        </w:rPr>
        <w:t>NFV</w:t>
      </w:r>
      <w:r>
        <w:t xml:space="preserve">, а также трансформация бизнеса оператора, для чего используется синергия технологий как </w:t>
      </w:r>
      <w:r>
        <w:rPr>
          <w:lang w:val="en-US"/>
        </w:rPr>
        <w:t>SDN</w:t>
      </w:r>
      <w:r>
        <w:t xml:space="preserve">, так и </w:t>
      </w:r>
      <w:r>
        <w:rPr>
          <w:lang w:val="en-US"/>
        </w:rPr>
        <w:t>NFV</w:t>
      </w:r>
      <w:r>
        <w:t xml:space="preserve">. </w:t>
      </w:r>
    </w:p>
    <w:p w:rsidR="001761C9" w:rsidRDefault="001761C9" w:rsidP="001761C9">
      <w:pPr>
        <w:pStyle w:val="a4"/>
      </w:pPr>
      <w:r>
        <w:t>В</w:t>
      </w:r>
      <w:r w:rsidRPr="008215A8">
        <w:t xml:space="preserve"> </w:t>
      </w:r>
      <w:r>
        <w:t>части</w:t>
      </w:r>
      <w:r w:rsidRPr="008215A8">
        <w:t xml:space="preserve"> </w:t>
      </w:r>
      <w:r>
        <w:rPr>
          <w:lang w:val="en-US"/>
        </w:rPr>
        <w:t>SDN</w:t>
      </w:r>
      <w:r w:rsidRPr="008215A8">
        <w:t xml:space="preserve">, </w:t>
      </w:r>
      <w:r w:rsidRPr="008215A8">
        <w:rPr>
          <w:lang w:val="en-US"/>
        </w:rPr>
        <w:t>Verizon</w:t>
      </w:r>
      <w:r>
        <w:t xml:space="preserve"> также придает большое значение использованию разделения плоскостей данных и управления (</w:t>
      </w:r>
      <w:proofErr w:type="spellStart"/>
      <w:r w:rsidRPr="008215A8">
        <w:t>control</w:t>
      </w:r>
      <w:proofErr w:type="spellEnd"/>
      <w:r w:rsidRPr="008215A8">
        <w:t xml:space="preserve"> </w:t>
      </w:r>
      <w:proofErr w:type="spellStart"/>
      <w:r>
        <w:t>plane</w:t>
      </w:r>
      <w:proofErr w:type="spellEnd"/>
      <w:r w:rsidRPr="008215A8">
        <w:t xml:space="preserve"> </w:t>
      </w:r>
      <w:r>
        <w:t>и</w:t>
      </w:r>
      <w:r w:rsidRPr="008215A8">
        <w:t xml:space="preserve"> </w:t>
      </w:r>
      <w:proofErr w:type="spellStart"/>
      <w:r w:rsidRPr="008215A8">
        <w:t>data</w:t>
      </w:r>
      <w:proofErr w:type="spellEnd"/>
      <w:r w:rsidRPr="008215A8">
        <w:t xml:space="preserve"> </w:t>
      </w:r>
      <w:proofErr w:type="spellStart"/>
      <w:r>
        <w:t>plane</w:t>
      </w:r>
      <w:proofErr w:type="spellEnd"/>
      <w:r>
        <w:t xml:space="preserve">). Плоскость данных </w:t>
      </w:r>
      <w:proofErr w:type="spellStart"/>
      <w:r w:rsidRPr="000332A7">
        <w:t>Verizon</w:t>
      </w:r>
      <w:proofErr w:type="spellEnd"/>
      <w:r w:rsidRPr="000332A7">
        <w:t xml:space="preserve"> </w:t>
      </w:r>
      <w:r>
        <w:t xml:space="preserve">называет </w:t>
      </w:r>
      <w:r>
        <w:rPr>
          <w:lang w:val="en-US"/>
        </w:rPr>
        <w:t>media</w:t>
      </w:r>
      <w:r w:rsidRPr="008215A8">
        <w:t>-</w:t>
      </w:r>
      <w:r>
        <w:rPr>
          <w:lang w:val="en-US"/>
        </w:rPr>
        <w:t>plane</w:t>
      </w:r>
      <w:r>
        <w:t xml:space="preserve">, тем самым делая акцент на важность услуг видео, как основы бизнеса оператора, идущей взамен традиционных услуг голоса и СМС. </w:t>
      </w:r>
    </w:p>
    <w:p w:rsidR="001761C9" w:rsidRDefault="001761C9" w:rsidP="001761C9">
      <w:pPr>
        <w:pStyle w:val="a4"/>
      </w:pPr>
      <w:r>
        <w:t>Особенностью архитектуры является «общий оркестратор» (</w:t>
      </w:r>
      <w:proofErr w:type="spellStart"/>
      <w:r w:rsidRPr="00F935D5">
        <w:t>End</w:t>
      </w:r>
      <w:proofErr w:type="spellEnd"/>
      <w:r w:rsidRPr="00F935D5">
        <w:t xml:space="preserve"> </w:t>
      </w:r>
      <w:proofErr w:type="spellStart"/>
      <w:r w:rsidRPr="00F935D5">
        <w:t>to</w:t>
      </w:r>
      <w:proofErr w:type="spellEnd"/>
      <w:r w:rsidRPr="00F935D5">
        <w:t xml:space="preserve"> </w:t>
      </w:r>
      <w:proofErr w:type="spellStart"/>
      <w:r w:rsidRPr="00F935D5">
        <w:t>End</w:t>
      </w:r>
      <w:proofErr w:type="spellEnd"/>
      <w:r w:rsidRPr="00F935D5">
        <w:t xml:space="preserve"> Orchestration)</w:t>
      </w:r>
      <w:r>
        <w:t>, который находится выше по иерархии, чем NFV</w:t>
      </w:r>
      <w:r w:rsidRPr="00F935D5">
        <w:t xml:space="preserve"> MANO</w:t>
      </w:r>
      <w:r>
        <w:t xml:space="preserve"> и контроллера </w:t>
      </w:r>
      <w:r>
        <w:rPr>
          <w:lang w:val="en-US"/>
        </w:rPr>
        <w:t>SDN</w:t>
      </w:r>
      <w:r>
        <w:t xml:space="preserve">. Этот уровень отвечает за координацию работы традиционных (унаследованных) сетевых элементов и виртуализированных сетевых элементов, то есть, </w:t>
      </w:r>
      <w:r>
        <w:rPr>
          <w:lang w:val="en-US"/>
        </w:rPr>
        <w:t>Verizon</w:t>
      </w:r>
      <w:r w:rsidRPr="00F935D5">
        <w:t xml:space="preserve"> </w:t>
      </w:r>
      <w:r>
        <w:t>придает большое значение поддержке имеющейся технологии в течение довольно долгого периода её постепенного замещения технологией виртуализации.</w:t>
      </w:r>
    </w:p>
    <w:p w:rsidR="001761C9" w:rsidRPr="0043065D" w:rsidRDefault="001761C9" w:rsidP="001761C9">
      <w:pPr>
        <w:pStyle w:val="11"/>
        <w:ind w:left="0"/>
        <w:rPr>
          <w:rStyle w:val="10"/>
          <w:b/>
          <w:sz w:val="24"/>
          <w:szCs w:val="24"/>
          <w:lang w:val="en-US"/>
        </w:rPr>
      </w:pPr>
      <w:proofErr w:type="spellStart"/>
      <w:r w:rsidRPr="0043065D">
        <w:rPr>
          <w:rStyle w:val="10"/>
          <w:b/>
          <w:sz w:val="24"/>
          <w:szCs w:val="24"/>
          <w:lang w:val="en-US"/>
        </w:rPr>
        <w:t>Решение</w:t>
      </w:r>
      <w:proofErr w:type="spellEnd"/>
      <w:r w:rsidRPr="0043065D">
        <w:rPr>
          <w:rStyle w:val="10"/>
          <w:b/>
          <w:sz w:val="24"/>
          <w:szCs w:val="24"/>
          <w:lang w:val="en-US"/>
        </w:rPr>
        <w:t xml:space="preserve"> White Box Open Source</w:t>
      </w:r>
    </w:p>
    <w:p w:rsidR="001761C9" w:rsidRDefault="001761C9" w:rsidP="001761C9">
      <w:pPr>
        <w:pStyle w:val="a4"/>
        <w:rPr>
          <w:rFonts w:cstheme="minorHAnsi"/>
          <w:color w:val="000000"/>
        </w:rPr>
      </w:pPr>
      <w:r w:rsidRPr="003E358A">
        <w:t xml:space="preserve">2 </w:t>
      </w:r>
      <w:r>
        <w:t>мая</w:t>
      </w:r>
      <w:r w:rsidRPr="003E358A">
        <w:t xml:space="preserve"> 2017 </w:t>
      </w:r>
      <w:r>
        <w:t>г</w:t>
      </w:r>
      <w:r w:rsidRPr="003E358A">
        <w:t xml:space="preserve">. </w:t>
      </w:r>
      <w:r>
        <w:t>Шон</w:t>
      </w:r>
      <w:r w:rsidRPr="003E358A">
        <w:t xml:space="preserve"> </w:t>
      </w:r>
      <w:proofErr w:type="spellStart"/>
      <w:r>
        <w:t>Хакл</w:t>
      </w:r>
      <w:proofErr w:type="spellEnd"/>
      <w:r w:rsidRPr="003E358A">
        <w:t xml:space="preserve"> (</w:t>
      </w:r>
      <w:proofErr w:type="spellStart"/>
      <w:r w:rsidRPr="003E358A">
        <w:t>Shawn</w:t>
      </w:r>
      <w:proofErr w:type="spellEnd"/>
      <w:r w:rsidRPr="003E358A">
        <w:t xml:space="preserve"> </w:t>
      </w:r>
      <w:proofErr w:type="spellStart"/>
      <w:r w:rsidRPr="003E358A">
        <w:t>Hakl</w:t>
      </w:r>
      <w:proofErr w:type="spellEnd"/>
      <w:r w:rsidRPr="003E358A">
        <w:t>)</w:t>
      </w:r>
      <w:r>
        <w:t xml:space="preserve">, вице-президент </w:t>
      </w:r>
      <w:proofErr w:type="spellStart"/>
      <w:r w:rsidRPr="003E358A">
        <w:t>Verizon</w:t>
      </w:r>
      <w:proofErr w:type="spellEnd"/>
      <w:r w:rsidRPr="003E358A">
        <w:t xml:space="preserve"> </w:t>
      </w:r>
      <w:r>
        <w:t xml:space="preserve">по новым продуктам и инновациям, на конференции </w:t>
      </w:r>
      <w:r w:rsidRPr="003E358A">
        <w:t xml:space="preserve">2017 NFV </w:t>
      </w:r>
      <w:proofErr w:type="spellStart"/>
      <w:r w:rsidRPr="003E358A">
        <w:t>World</w:t>
      </w:r>
      <w:proofErr w:type="spellEnd"/>
      <w:r w:rsidRPr="003E358A">
        <w:t xml:space="preserve"> </w:t>
      </w:r>
      <w:proofErr w:type="spellStart"/>
      <w:r w:rsidRPr="003E358A">
        <w:t>Congress</w:t>
      </w:r>
      <w:proofErr w:type="spellEnd"/>
      <w:r>
        <w:t xml:space="preserve"> в Сан-Хосе (Калифорния) объявил о том, что вскоре </w:t>
      </w:r>
      <w:proofErr w:type="spellStart"/>
      <w:r w:rsidRPr="003E358A">
        <w:t>Verizon</w:t>
      </w:r>
      <w:proofErr w:type="spellEnd"/>
      <w:r>
        <w:t xml:space="preserve"> запустит открытое (</w:t>
      </w:r>
      <w:hyperlink r:id="rId5" w:tooltip="Open Source Resources" w:history="1">
        <w:r w:rsidRPr="003E358A">
          <w:rPr>
            <w:rStyle w:val="a3"/>
            <w:rFonts w:cstheme="minorHAnsi"/>
            <w:color w:val="1378B7"/>
            <w:lang w:val="en-US"/>
          </w:rPr>
          <w:t>open</w:t>
        </w:r>
        <w:r w:rsidRPr="003E358A">
          <w:rPr>
            <w:rStyle w:val="a3"/>
            <w:rFonts w:cstheme="minorHAnsi"/>
            <w:color w:val="1378B7"/>
          </w:rPr>
          <w:t xml:space="preserve"> </w:t>
        </w:r>
        <w:r w:rsidRPr="003E358A">
          <w:rPr>
            <w:rStyle w:val="a3"/>
            <w:rFonts w:cstheme="minorHAnsi"/>
            <w:color w:val="1378B7"/>
            <w:lang w:val="en-US"/>
          </w:rPr>
          <w:t>source</w:t>
        </w:r>
      </w:hyperlink>
      <w:r>
        <w:rPr>
          <w:rFonts w:cstheme="minorHAnsi"/>
          <w:color w:val="000000"/>
        </w:rPr>
        <w:t>) решение «</w:t>
      </w:r>
      <w:proofErr w:type="spellStart"/>
      <w:r w:rsidRPr="003E358A">
        <w:rPr>
          <w:rFonts w:cstheme="minorHAnsi"/>
          <w:color w:val="000000"/>
        </w:rPr>
        <w:t>white</w:t>
      </w:r>
      <w:proofErr w:type="spellEnd"/>
      <w:r w:rsidRPr="003E358A">
        <w:rPr>
          <w:rFonts w:cstheme="minorHAnsi"/>
          <w:color w:val="000000"/>
        </w:rPr>
        <w:t xml:space="preserve"> </w:t>
      </w:r>
      <w:proofErr w:type="spellStart"/>
      <w:r w:rsidRPr="003E358A">
        <w:rPr>
          <w:rFonts w:cstheme="minorHAnsi"/>
          <w:color w:val="000000"/>
        </w:rPr>
        <w:t>box</w:t>
      </w:r>
      <w:proofErr w:type="spellEnd"/>
      <w:r>
        <w:rPr>
          <w:rFonts w:cstheme="minorHAnsi"/>
          <w:color w:val="000000"/>
        </w:rPr>
        <w:t>», на котором смогут работать программные решения от многих вендоров. По его словам, этого решения ждут многие корпоративные заказчики оператора. Он не раскрыл, на каких конкретно вендорских технологиях будет базироваться это решение, но отметил, что это будет «</w:t>
      </w:r>
      <w:proofErr w:type="spellStart"/>
      <w:r>
        <w:rPr>
          <w:rFonts w:cstheme="minorHAnsi"/>
          <w:color w:val="000000"/>
        </w:rPr>
        <w:t>микс</w:t>
      </w:r>
      <w:proofErr w:type="spellEnd"/>
      <w:r>
        <w:rPr>
          <w:rFonts w:cstheme="minorHAnsi"/>
          <w:color w:val="000000"/>
        </w:rPr>
        <w:t xml:space="preserve"> традиционных и нетрадиционных поставщиков». </w:t>
      </w:r>
    </w:p>
    <w:p w:rsidR="001761C9" w:rsidRPr="0043065D" w:rsidRDefault="001761C9" w:rsidP="001761C9">
      <w:pPr>
        <w:pStyle w:val="11"/>
        <w:ind w:left="0"/>
        <w:rPr>
          <w:rStyle w:val="10"/>
          <w:b/>
          <w:sz w:val="24"/>
          <w:szCs w:val="24"/>
          <w:lang w:val="en-US"/>
        </w:rPr>
      </w:pPr>
      <w:proofErr w:type="spellStart"/>
      <w:r w:rsidRPr="0043065D">
        <w:rPr>
          <w:rStyle w:val="10"/>
          <w:b/>
          <w:sz w:val="24"/>
          <w:szCs w:val="24"/>
          <w:lang w:val="en-US"/>
        </w:rPr>
        <w:t>Финансовые</w:t>
      </w:r>
      <w:proofErr w:type="spellEnd"/>
      <w:r w:rsidRPr="0043065D">
        <w:rPr>
          <w:rStyle w:val="10"/>
          <w:b/>
          <w:sz w:val="24"/>
          <w:szCs w:val="24"/>
          <w:lang w:val="en-US"/>
        </w:rPr>
        <w:t xml:space="preserve"> </w:t>
      </w:r>
      <w:proofErr w:type="spellStart"/>
      <w:r w:rsidRPr="0043065D">
        <w:rPr>
          <w:rStyle w:val="10"/>
          <w:b/>
          <w:sz w:val="24"/>
          <w:szCs w:val="24"/>
          <w:lang w:val="en-US"/>
        </w:rPr>
        <w:t>результаты</w:t>
      </w:r>
      <w:proofErr w:type="spellEnd"/>
      <w:r w:rsidRPr="0043065D">
        <w:rPr>
          <w:rStyle w:val="10"/>
          <w:b/>
          <w:sz w:val="24"/>
          <w:szCs w:val="24"/>
          <w:lang w:val="en-US"/>
        </w:rPr>
        <w:t xml:space="preserve"> Verizon</w:t>
      </w:r>
    </w:p>
    <w:p w:rsidR="001761C9" w:rsidRDefault="001761C9" w:rsidP="001761C9">
      <w:pPr>
        <w:pStyle w:val="a4"/>
      </w:pPr>
      <w:r>
        <w:t xml:space="preserve">Цифровая трансформация на результатах финансовой деятельности </w:t>
      </w:r>
      <w:r>
        <w:rPr>
          <w:lang w:val="en-US"/>
        </w:rPr>
        <w:t>Verizon</w:t>
      </w:r>
      <w:r w:rsidRPr="00436439">
        <w:t xml:space="preserve"> </w:t>
      </w:r>
      <w:r>
        <w:t xml:space="preserve">практически не сказалась. </w:t>
      </w:r>
    </w:p>
    <w:p w:rsidR="001761C9" w:rsidRDefault="001761C9" w:rsidP="001761C9">
      <w:r>
        <w:rPr>
          <w:noProof/>
          <w:lang w:val="en-US"/>
        </w:rPr>
        <w:drawing>
          <wp:inline distT="0" distB="0" distL="0" distR="0" wp14:anchorId="2137874F" wp14:editId="6A4EAA27">
            <wp:extent cx="5940425" cy="817880"/>
            <wp:effectExtent l="0" t="0" r="3175" b="127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817880"/>
                    </a:xfrm>
                    <a:prstGeom prst="rect">
                      <a:avLst/>
                    </a:prstGeom>
                  </pic:spPr>
                </pic:pic>
              </a:graphicData>
            </a:graphic>
          </wp:inline>
        </w:drawing>
      </w:r>
    </w:p>
    <w:p w:rsidR="001761C9" w:rsidRPr="00436439" w:rsidRDefault="001761C9" w:rsidP="001761C9">
      <w:pPr>
        <w:spacing w:after="0" w:line="240" w:lineRule="auto"/>
        <w:rPr>
          <w:rFonts w:ascii="Georgia" w:eastAsia="Times New Roman" w:hAnsi="Georgia" w:cs="Times New Roman"/>
          <w:color w:val="333333"/>
          <w:sz w:val="16"/>
          <w:szCs w:val="16"/>
          <w:lang w:eastAsia="ru-RU"/>
        </w:rPr>
      </w:pPr>
      <w:r w:rsidRPr="00436439">
        <w:rPr>
          <w:rFonts w:ascii="Georgia" w:eastAsia="Times New Roman" w:hAnsi="Georgia" w:cs="Times New Roman"/>
          <w:color w:val="333333"/>
          <w:sz w:val="16"/>
          <w:szCs w:val="16"/>
          <w:lang w:eastAsia="ru-RU"/>
        </w:rPr>
        <w:t xml:space="preserve">Источник: </w:t>
      </w:r>
      <w:proofErr w:type="spellStart"/>
      <w:r w:rsidRPr="00436439">
        <w:rPr>
          <w:rFonts w:ascii="Georgia" w:eastAsia="Times New Roman" w:hAnsi="Georgia" w:cs="Times New Roman"/>
          <w:color w:val="333333"/>
          <w:sz w:val="16"/>
          <w:szCs w:val="16"/>
          <w:lang w:eastAsia="ru-RU"/>
        </w:rPr>
        <w:t>Verizon</w:t>
      </w:r>
      <w:proofErr w:type="spellEnd"/>
      <w:r w:rsidRPr="00436439">
        <w:rPr>
          <w:rFonts w:ascii="Georgia" w:eastAsia="Times New Roman" w:hAnsi="Georgia" w:cs="Times New Roman"/>
          <w:color w:val="333333"/>
          <w:sz w:val="16"/>
          <w:szCs w:val="16"/>
          <w:lang w:eastAsia="ru-RU"/>
        </w:rPr>
        <w:t xml:space="preserve">. </w:t>
      </w:r>
    </w:p>
    <w:p w:rsidR="001761C9" w:rsidRDefault="001761C9" w:rsidP="001761C9">
      <w:pPr>
        <w:spacing w:after="0" w:line="240" w:lineRule="auto"/>
        <w:rPr>
          <w:rFonts w:ascii="Georgia" w:eastAsia="Times New Roman" w:hAnsi="Georgia" w:cs="Times New Roman"/>
          <w:color w:val="333333"/>
          <w:sz w:val="16"/>
          <w:szCs w:val="16"/>
          <w:lang w:eastAsia="ru-RU"/>
        </w:rPr>
      </w:pPr>
      <w:r w:rsidRPr="00436439">
        <w:rPr>
          <w:rFonts w:ascii="Georgia" w:eastAsia="Times New Roman" w:hAnsi="Georgia" w:cs="Times New Roman"/>
          <w:color w:val="333333"/>
          <w:sz w:val="16"/>
          <w:szCs w:val="16"/>
          <w:lang w:eastAsia="ru-RU"/>
        </w:rPr>
        <w:t xml:space="preserve">Рис. </w:t>
      </w:r>
      <w:r>
        <w:rPr>
          <w:rFonts w:ascii="Georgia" w:eastAsia="Times New Roman" w:hAnsi="Georgia" w:cs="Times New Roman"/>
          <w:color w:val="333333"/>
          <w:sz w:val="16"/>
          <w:szCs w:val="16"/>
          <w:lang w:eastAsia="ru-RU"/>
        </w:rPr>
        <w:t xml:space="preserve"> 4.23</w:t>
      </w:r>
      <w:r w:rsidRPr="00436439">
        <w:rPr>
          <w:rFonts w:ascii="Georgia" w:eastAsia="Times New Roman" w:hAnsi="Georgia" w:cs="Times New Roman"/>
          <w:color w:val="333333"/>
          <w:sz w:val="16"/>
          <w:szCs w:val="16"/>
          <w:lang w:eastAsia="ru-RU"/>
        </w:rPr>
        <w:t xml:space="preserve">. Результаты финансовой деятельности </w:t>
      </w:r>
      <w:proofErr w:type="spellStart"/>
      <w:r w:rsidRPr="00436439">
        <w:rPr>
          <w:rFonts w:ascii="Georgia" w:eastAsia="Times New Roman" w:hAnsi="Georgia" w:cs="Times New Roman"/>
          <w:color w:val="333333"/>
          <w:sz w:val="16"/>
          <w:szCs w:val="16"/>
          <w:lang w:eastAsia="ru-RU"/>
        </w:rPr>
        <w:t>Verizon</w:t>
      </w:r>
      <w:proofErr w:type="spellEnd"/>
      <w:r w:rsidRPr="00436439">
        <w:rPr>
          <w:rFonts w:ascii="Georgia" w:eastAsia="Times New Roman" w:hAnsi="Georgia" w:cs="Times New Roman"/>
          <w:color w:val="333333"/>
          <w:sz w:val="16"/>
          <w:szCs w:val="16"/>
          <w:lang w:eastAsia="ru-RU"/>
        </w:rPr>
        <w:t xml:space="preserve"> </w:t>
      </w:r>
      <w:proofErr w:type="spellStart"/>
      <w:r w:rsidRPr="00436439">
        <w:rPr>
          <w:rFonts w:ascii="Georgia" w:eastAsia="Times New Roman" w:hAnsi="Georgia" w:cs="Times New Roman"/>
          <w:color w:val="333333"/>
          <w:sz w:val="16"/>
          <w:szCs w:val="16"/>
          <w:lang w:eastAsia="ru-RU"/>
        </w:rPr>
        <w:t>pf</w:t>
      </w:r>
      <w:proofErr w:type="spellEnd"/>
      <w:r w:rsidRPr="00436439">
        <w:rPr>
          <w:rFonts w:ascii="Georgia" w:eastAsia="Times New Roman" w:hAnsi="Georgia" w:cs="Times New Roman"/>
          <w:color w:val="333333"/>
          <w:sz w:val="16"/>
          <w:szCs w:val="16"/>
          <w:lang w:eastAsia="ru-RU"/>
        </w:rPr>
        <w:t xml:space="preserve"> 2014 – 2016 годы (млн. долл. США).</w:t>
      </w:r>
    </w:p>
    <w:p w:rsidR="001761C9" w:rsidRDefault="001761C9" w:rsidP="001761C9">
      <w:pPr>
        <w:spacing w:after="0" w:line="240" w:lineRule="auto"/>
        <w:rPr>
          <w:rFonts w:ascii="Georgia" w:eastAsia="Times New Roman" w:hAnsi="Georgia" w:cs="Times New Roman"/>
          <w:color w:val="333333"/>
          <w:sz w:val="16"/>
          <w:szCs w:val="16"/>
          <w:lang w:eastAsia="ru-RU"/>
        </w:rPr>
      </w:pPr>
    </w:p>
    <w:p w:rsidR="001761C9" w:rsidRPr="001761C9" w:rsidRDefault="001761C9" w:rsidP="001761C9">
      <w:pPr>
        <w:pStyle w:val="a4"/>
        <w:rPr>
          <w:lang w:eastAsia="ru-RU"/>
        </w:rPr>
      </w:pPr>
      <w:r w:rsidRPr="00EB4CA5">
        <w:rPr>
          <w:lang w:eastAsia="ru-RU"/>
        </w:rPr>
        <w:t xml:space="preserve">На рисунке ниже показано сравнение роста дохода </w:t>
      </w:r>
      <w:r w:rsidRPr="00EB4CA5">
        <w:rPr>
          <w:lang w:val="en-US" w:eastAsia="ru-RU"/>
        </w:rPr>
        <w:t>AT</w:t>
      </w:r>
      <w:r w:rsidRPr="00EB4CA5">
        <w:rPr>
          <w:lang w:eastAsia="ru-RU"/>
        </w:rPr>
        <w:t>&amp;</w:t>
      </w:r>
      <w:r w:rsidRPr="00EB4CA5">
        <w:rPr>
          <w:lang w:val="en-US" w:eastAsia="ru-RU"/>
        </w:rPr>
        <w:t>T</w:t>
      </w:r>
      <w:r w:rsidRPr="00EB4CA5">
        <w:rPr>
          <w:lang w:eastAsia="ru-RU"/>
        </w:rPr>
        <w:t xml:space="preserve"> от услуг фиксированной связи, в сравнении с доходами </w:t>
      </w:r>
      <w:r w:rsidRPr="00EB4CA5">
        <w:rPr>
          <w:lang w:val="en-US" w:eastAsia="ru-RU"/>
        </w:rPr>
        <w:t>Verizon</w:t>
      </w:r>
      <w:r w:rsidRPr="001761C9">
        <w:rPr>
          <w:lang w:eastAsia="ru-RU"/>
        </w:rPr>
        <w:t xml:space="preserve">: </w:t>
      </w:r>
    </w:p>
    <w:p w:rsidR="001761C9" w:rsidRDefault="001761C9" w:rsidP="001761C9">
      <w:pPr>
        <w:shd w:val="clear" w:color="auto" w:fill="FFFFFF"/>
        <w:spacing w:after="360" w:line="240" w:lineRule="auto"/>
        <w:textAlignment w:val="baseline"/>
        <w:rPr>
          <w:rFonts w:ascii="Georgia" w:eastAsia="Times New Roman" w:hAnsi="Georgia" w:cs="Times New Roman"/>
          <w:color w:val="333333"/>
          <w:sz w:val="24"/>
          <w:szCs w:val="24"/>
          <w:lang w:val="en-US" w:eastAsia="ru-RU"/>
        </w:rPr>
      </w:pPr>
      <w:r>
        <w:rPr>
          <w:noProof/>
          <w:lang w:val="en-US"/>
        </w:rPr>
        <w:lastRenderedPageBreak/>
        <w:drawing>
          <wp:inline distT="0" distB="0" distL="0" distR="0" wp14:anchorId="66E28CCE" wp14:editId="1C40B798">
            <wp:extent cx="4572000" cy="2743200"/>
            <wp:effectExtent l="0" t="0" r="0" b="0"/>
            <wp:docPr id="30" name="Диаграмма 30"/>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rsidR="001761C9" w:rsidRPr="00436439" w:rsidRDefault="001761C9" w:rsidP="001761C9">
      <w:pPr>
        <w:spacing w:after="0" w:line="240" w:lineRule="auto"/>
        <w:rPr>
          <w:rFonts w:ascii="Georgia" w:eastAsia="Times New Roman" w:hAnsi="Georgia" w:cs="Times New Roman"/>
          <w:color w:val="333333"/>
          <w:sz w:val="16"/>
          <w:szCs w:val="16"/>
          <w:lang w:eastAsia="ru-RU"/>
        </w:rPr>
      </w:pPr>
      <w:r w:rsidRPr="00436439">
        <w:rPr>
          <w:rFonts w:ascii="Georgia" w:eastAsia="Times New Roman" w:hAnsi="Georgia" w:cs="Times New Roman"/>
          <w:color w:val="333333"/>
          <w:sz w:val="16"/>
          <w:szCs w:val="16"/>
          <w:lang w:eastAsia="ru-RU"/>
        </w:rPr>
        <w:t xml:space="preserve">Источник: STL </w:t>
      </w:r>
      <w:proofErr w:type="spellStart"/>
      <w:r w:rsidRPr="00436439">
        <w:rPr>
          <w:rFonts w:ascii="Georgia" w:eastAsia="Times New Roman" w:hAnsi="Georgia" w:cs="Times New Roman"/>
          <w:color w:val="333333"/>
          <w:sz w:val="16"/>
          <w:szCs w:val="16"/>
          <w:lang w:eastAsia="ru-RU"/>
        </w:rPr>
        <w:t>Partners</w:t>
      </w:r>
      <w:proofErr w:type="spellEnd"/>
      <w:r w:rsidRPr="00436439">
        <w:rPr>
          <w:rFonts w:ascii="Georgia" w:eastAsia="Times New Roman" w:hAnsi="Georgia" w:cs="Times New Roman"/>
          <w:color w:val="333333"/>
          <w:sz w:val="16"/>
          <w:szCs w:val="16"/>
          <w:lang w:eastAsia="ru-RU"/>
        </w:rPr>
        <w:t xml:space="preserve"> </w:t>
      </w:r>
    </w:p>
    <w:p w:rsidR="001761C9" w:rsidRPr="00436439" w:rsidRDefault="001761C9" w:rsidP="001761C9">
      <w:pPr>
        <w:spacing w:after="0" w:line="240" w:lineRule="auto"/>
        <w:rPr>
          <w:rFonts w:ascii="Georgia" w:eastAsia="Times New Roman" w:hAnsi="Georgia" w:cs="Times New Roman"/>
          <w:color w:val="333333"/>
          <w:sz w:val="16"/>
          <w:szCs w:val="16"/>
          <w:lang w:eastAsia="ru-RU"/>
        </w:rPr>
      </w:pPr>
      <w:r w:rsidRPr="00436439">
        <w:rPr>
          <w:rFonts w:ascii="Georgia" w:eastAsia="Times New Roman" w:hAnsi="Georgia" w:cs="Times New Roman"/>
          <w:color w:val="333333"/>
          <w:sz w:val="16"/>
          <w:szCs w:val="16"/>
          <w:lang w:eastAsia="ru-RU"/>
        </w:rPr>
        <w:t>Рис. 4.2</w:t>
      </w:r>
      <w:r>
        <w:rPr>
          <w:rFonts w:ascii="Georgia" w:eastAsia="Times New Roman" w:hAnsi="Georgia" w:cs="Times New Roman"/>
          <w:color w:val="333333"/>
          <w:sz w:val="16"/>
          <w:szCs w:val="16"/>
          <w:lang w:eastAsia="ru-RU"/>
        </w:rPr>
        <w:t>4</w:t>
      </w:r>
      <w:r w:rsidRPr="00436439">
        <w:rPr>
          <w:rFonts w:ascii="Georgia" w:eastAsia="Times New Roman" w:hAnsi="Georgia" w:cs="Times New Roman"/>
          <w:color w:val="333333"/>
          <w:sz w:val="16"/>
          <w:szCs w:val="16"/>
          <w:lang w:eastAsia="ru-RU"/>
        </w:rPr>
        <w:t xml:space="preserve">. Сравнение роста доходов от услуг фиксированной сети операторов AT&amp;T и </w:t>
      </w:r>
      <w:proofErr w:type="spellStart"/>
      <w:r w:rsidRPr="00436439">
        <w:rPr>
          <w:rFonts w:ascii="Georgia" w:eastAsia="Times New Roman" w:hAnsi="Georgia" w:cs="Times New Roman"/>
          <w:color w:val="333333"/>
          <w:sz w:val="16"/>
          <w:szCs w:val="16"/>
          <w:lang w:eastAsia="ru-RU"/>
        </w:rPr>
        <w:t>Verizon</w:t>
      </w:r>
      <w:proofErr w:type="spellEnd"/>
      <w:r w:rsidRPr="00436439">
        <w:rPr>
          <w:rFonts w:ascii="Georgia" w:eastAsia="Times New Roman" w:hAnsi="Georgia" w:cs="Times New Roman"/>
          <w:color w:val="333333"/>
          <w:sz w:val="16"/>
          <w:szCs w:val="16"/>
          <w:lang w:eastAsia="ru-RU"/>
        </w:rPr>
        <w:t xml:space="preserve"> за 2012 – 2 кв. 2016 </w:t>
      </w:r>
      <w:r w:rsidR="00530733">
        <w:rPr>
          <w:rFonts w:ascii="Georgia" w:eastAsia="Times New Roman" w:hAnsi="Georgia" w:cs="Times New Roman"/>
          <w:color w:val="333333"/>
          <w:sz w:val="16"/>
          <w:szCs w:val="16"/>
          <w:lang w:eastAsia="ru-RU"/>
        </w:rPr>
        <w:t>г.</w:t>
      </w:r>
      <w:bookmarkStart w:id="0" w:name="_GoBack"/>
      <w:bookmarkEnd w:id="0"/>
    </w:p>
    <w:p w:rsidR="00C72595" w:rsidRDefault="00C72595" w:rsidP="001761C9">
      <w:pPr>
        <w:tabs>
          <w:tab w:val="left" w:pos="1843"/>
        </w:tabs>
      </w:pPr>
    </w:p>
    <w:sectPr w:rsidR="00C7259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altName w:val="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EC040C8"/>
    <w:multiLevelType w:val="multilevel"/>
    <w:tmpl w:val="5EC040C8"/>
    <w:lvl w:ilvl="0">
      <w:start w:val="1"/>
      <w:numFmt w:val="decimal"/>
      <w:pStyle w:val="1"/>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220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D6B703E"/>
    <w:multiLevelType w:val="multilevel"/>
    <w:tmpl w:val="6D6B703E"/>
    <w:lvl w:ilvl="0">
      <w:start w:val="3"/>
      <w:numFmt w:val="decimal"/>
      <w:lvlText w:val="%1."/>
      <w:lvlJc w:val="left"/>
      <w:pPr>
        <w:ind w:left="540" w:hanging="360"/>
      </w:pPr>
      <w:rPr>
        <w:rFonts w:hint="default"/>
        <w:color w:val="2F5496" w:themeColor="accent1" w:themeShade="BF"/>
        <w:sz w:val="32"/>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49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1C9"/>
    <w:rsid w:val="0002652C"/>
    <w:rsid w:val="000C0D14"/>
    <w:rsid w:val="001761C9"/>
    <w:rsid w:val="00323D6F"/>
    <w:rsid w:val="00391C9A"/>
    <w:rsid w:val="00451F56"/>
    <w:rsid w:val="00530733"/>
    <w:rsid w:val="00825A39"/>
    <w:rsid w:val="00C72595"/>
    <w:rsid w:val="00D711B9"/>
    <w:rsid w:val="00D85E09"/>
    <w:rsid w:val="00DA1A7D"/>
    <w:rsid w:val="00E279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9042F"/>
  <w15:chartTrackingRefBased/>
  <w15:docId w15:val="{444ED659-AEB7-4CCA-A3F1-965A76F60D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761C9"/>
    <w:rPr>
      <w:lang w:val="ru-RU"/>
    </w:rPr>
  </w:style>
  <w:style w:type="paragraph" w:styleId="1">
    <w:name w:val="heading 1"/>
    <w:basedOn w:val="a"/>
    <w:next w:val="a"/>
    <w:link w:val="10"/>
    <w:uiPriority w:val="9"/>
    <w:qFormat/>
    <w:rsid w:val="001761C9"/>
    <w:pPr>
      <w:keepNext/>
      <w:keepLines/>
      <w:numPr>
        <w:numId w:val="1"/>
      </w:numPr>
      <w:spacing w:before="240" w:after="0"/>
      <w:ind w:left="720"/>
      <w:outlineLvl w:val="0"/>
    </w:pPr>
    <w:rPr>
      <w:rFonts w:asciiTheme="majorHAnsi" w:eastAsiaTheme="majorEastAsia" w:hAnsiTheme="majorHAnsi" w:cstheme="majorBidi"/>
      <w:color w:val="2F5496" w:themeColor="accent1" w:themeShade="BF"/>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qFormat/>
    <w:rsid w:val="001761C9"/>
    <w:rPr>
      <w:rFonts w:asciiTheme="majorHAnsi" w:eastAsiaTheme="majorEastAsia" w:hAnsiTheme="majorHAnsi" w:cstheme="majorBidi"/>
      <w:color w:val="2F5496" w:themeColor="accent1" w:themeShade="BF"/>
      <w:sz w:val="32"/>
      <w:szCs w:val="32"/>
      <w:lang w:val="ru-RU"/>
    </w:rPr>
  </w:style>
  <w:style w:type="character" w:styleId="a3">
    <w:name w:val="Hyperlink"/>
    <w:basedOn w:val="a0"/>
    <w:uiPriority w:val="99"/>
    <w:unhideWhenUsed/>
    <w:qFormat/>
    <w:rsid w:val="001761C9"/>
    <w:rPr>
      <w:color w:val="0563C1" w:themeColor="hyperlink"/>
      <w:u w:val="single"/>
    </w:rPr>
  </w:style>
  <w:style w:type="paragraph" w:customStyle="1" w:styleId="11">
    <w:name w:val="Абзац списка1"/>
    <w:basedOn w:val="a"/>
    <w:uiPriority w:val="34"/>
    <w:qFormat/>
    <w:rsid w:val="001761C9"/>
    <w:pPr>
      <w:ind w:left="720"/>
      <w:contextualSpacing/>
    </w:pPr>
  </w:style>
  <w:style w:type="paragraph" w:styleId="a4">
    <w:name w:val="Body Text"/>
    <w:basedOn w:val="a"/>
    <w:link w:val="a5"/>
    <w:uiPriority w:val="99"/>
    <w:unhideWhenUsed/>
    <w:rsid w:val="001761C9"/>
    <w:pPr>
      <w:spacing w:after="120"/>
    </w:pPr>
  </w:style>
  <w:style w:type="character" w:customStyle="1" w:styleId="a5">
    <w:name w:val="Основной текст Знак"/>
    <w:basedOn w:val="a0"/>
    <w:link w:val="a4"/>
    <w:uiPriority w:val="99"/>
    <w:rsid w:val="001761C9"/>
    <w:rPr>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s://www.sdxcentral.com/cloud/open-source/" TargetMode="Externa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oleObject" Target="&#1050;&#1085;&#1080;&#1075;&#1072;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ru-RU"/>
              <a:t>Доход от </a:t>
            </a:r>
            <a:r>
              <a:rPr lang="ru-RU" baseline="0"/>
              <a:t>услуг фиксированной сети, млн. </a:t>
            </a:r>
            <a:r>
              <a:rPr lang="en-US" baseline="0"/>
              <a:t>USD</a:t>
            </a:r>
            <a:endParaRPr lang="ru-RU"/>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lineChart>
        <c:grouping val="standard"/>
        <c:varyColors val="0"/>
        <c:ser>
          <c:idx val="0"/>
          <c:order val="0"/>
          <c:tx>
            <c:strRef>
              <c:f>Лист1!$E$3</c:f>
              <c:strCache>
                <c:ptCount val="1"/>
                <c:pt idx="0">
                  <c:v>AT&amp;T</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cat>
            <c:strRef>
              <c:f>Лист1!$D$4:$D$21</c:f>
              <c:strCache>
                <c:ptCount val="18"/>
                <c:pt idx="0">
                  <c:v>2012Q1</c:v>
                </c:pt>
                <c:pt idx="1">
                  <c:v>2012Q2</c:v>
                </c:pt>
                <c:pt idx="2">
                  <c:v>2012Q3</c:v>
                </c:pt>
                <c:pt idx="3">
                  <c:v>2012Q4</c:v>
                </c:pt>
                <c:pt idx="4">
                  <c:v>2013Q1</c:v>
                </c:pt>
                <c:pt idx="5">
                  <c:v>2013Q2</c:v>
                </c:pt>
                <c:pt idx="6">
                  <c:v>2013Q3</c:v>
                </c:pt>
                <c:pt idx="7">
                  <c:v>2013Q4</c:v>
                </c:pt>
                <c:pt idx="8">
                  <c:v>2014Q1</c:v>
                </c:pt>
                <c:pt idx="9">
                  <c:v>2014Q2</c:v>
                </c:pt>
                <c:pt idx="10">
                  <c:v>2014Q3</c:v>
                </c:pt>
                <c:pt idx="11">
                  <c:v>2014Q4</c:v>
                </c:pt>
                <c:pt idx="12">
                  <c:v>2015Q1</c:v>
                </c:pt>
                <c:pt idx="13">
                  <c:v>2015Q2</c:v>
                </c:pt>
                <c:pt idx="14">
                  <c:v>2015Q3</c:v>
                </c:pt>
                <c:pt idx="15">
                  <c:v>2015Q4</c:v>
                </c:pt>
                <c:pt idx="16">
                  <c:v>2016Q1</c:v>
                </c:pt>
                <c:pt idx="17">
                  <c:v>2016Q2</c:v>
                </c:pt>
              </c:strCache>
            </c:strRef>
          </c:cat>
          <c:val>
            <c:numRef>
              <c:f>Лист1!$E$4:$E$21</c:f>
              <c:numCache>
                <c:formatCode>General</c:formatCode>
                <c:ptCount val="18"/>
                <c:pt idx="0">
                  <c:v>1510</c:v>
                </c:pt>
                <c:pt idx="1">
                  <c:v>1515</c:v>
                </c:pt>
                <c:pt idx="2">
                  <c:v>1550</c:v>
                </c:pt>
                <c:pt idx="3">
                  <c:v>1560</c:v>
                </c:pt>
                <c:pt idx="4">
                  <c:v>1950</c:v>
                </c:pt>
                <c:pt idx="5">
                  <c:v>2100</c:v>
                </c:pt>
                <c:pt idx="6">
                  <c:v>2140</c:v>
                </c:pt>
                <c:pt idx="7">
                  <c:v>2250</c:v>
                </c:pt>
                <c:pt idx="8">
                  <c:v>2300</c:v>
                </c:pt>
                <c:pt idx="9">
                  <c:v>2300</c:v>
                </c:pt>
                <c:pt idx="10">
                  <c:v>2350</c:v>
                </c:pt>
                <c:pt idx="11">
                  <c:v>2500</c:v>
                </c:pt>
                <c:pt idx="12">
                  <c:v>2550</c:v>
                </c:pt>
                <c:pt idx="13">
                  <c:v>2600</c:v>
                </c:pt>
                <c:pt idx="14">
                  <c:v>2700</c:v>
                </c:pt>
                <c:pt idx="15">
                  <c:v>2750</c:v>
                </c:pt>
                <c:pt idx="16">
                  <c:v>2770</c:v>
                </c:pt>
                <c:pt idx="17">
                  <c:v>2850</c:v>
                </c:pt>
              </c:numCache>
            </c:numRef>
          </c:val>
          <c:smooth val="0"/>
          <c:extLst>
            <c:ext xmlns:c16="http://schemas.microsoft.com/office/drawing/2014/chart" uri="{C3380CC4-5D6E-409C-BE32-E72D297353CC}">
              <c16:uniqueId val="{00000000-1B91-4095-8183-20D4E26BD5A7}"/>
            </c:ext>
          </c:extLst>
        </c:ser>
        <c:ser>
          <c:idx val="1"/>
          <c:order val="1"/>
          <c:tx>
            <c:strRef>
              <c:f>Лист1!$F$3</c:f>
              <c:strCache>
                <c:ptCount val="1"/>
                <c:pt idx="0">
                  <c:v>Verizon</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cat>
            <c:strRef>
              <c:f>Лист1!$D$4:$D$21</c:f>
              <c:strCache>
                <c:ptCount val="18"/>
                <c:pt idx="0">
                  <c:v>2012Q1</c:v>
                </c:pt>
                <c:pt idx="1">
                  <c:v>2012Q2</c:v>
                </c:pt>
                <c:pt idx="2">
                  <c:v>2012Q3</c:v>
                </c:pt>
                <c:pt idx="3">
                  <c:v>2012Q4</c:v>
                </c:pt>
                <c:pt idx="4">
                  <c:v>2013Q1</c:v>
                </c:pt>
                <c:pt idx="5">
                  <c:v>2013Q2</c:v>
                </c:pt>
                <c:pt idx="6">
                  <c:v>2013Q3</c:v>
                </c:pt>
                <c:pt idx="7">
                  <c:v>2013Q4</c:v>
                </c:pt>
                <c:pt idx="8">
                  <c:v>2014Q1</c:v>
                </c:pt>
                <c:pt idx="9">
                  <c:v>2014Q2</c:v>
                </c:pt>
                <c:pt idx="10">
                  <c:v>2014Q3</c:v>
                </c:pt>
                <c:pt idx="11">
                  <c:v>2014Q4</c:v>
                </c:pt>
                <c:pt idx="12">
                  <c:v>2015Q1</c:v>
                </c:pt>
                <c:pt idx="13">
                  <c:v>2015Q2</c:v>
                </c:pt>
                <c:pt idx="14">
                  <c:v>2015Q3</c:v>
                </c:pt>
                <c:pt idx="15">
                  <c:v>2015Q4</c:v>
                </c:pt>
                <c:pt idx="16">
                  <c:v>2016Q1</c:v>
                </c:pt>
                <c:pt idx="17">
                  <c:v>2016Q2</c:v>
                </c:pt>
              </c:strCache>
            </c:strRef>
          </c:cat>
          <c:val>
            <c:numRef>
              <c:f>Лист1!$F$4:$F$21</c:f>
              <c:numCache>
                <c:formatCode>General</c:formatCode>
                <c:ptCount val="18"/>
                <c:pt idx="0">
                  <c:v>1970</c:v>
                </c:pt>
                <c:pt idx="1">
                  <c:v>1980</c:v>
                </c:pt>
                <c:pt idx="2">
                  <c:v>2000</c:v>
                </c:pt>
                <c:pt idx="3">
                  <c:v>2100</c:v>
                </c:pt>
                <c:pt idx="4">
                  <c:v>2090</c:v>
                </c:pt>
                <c:pt idx="5">
                  <c:v>2100</c:v>
                </c:pt>
                <c:pt idx="6">
                  <c:v>2150</c:v>
                </c:pt>
                <c:pt idx="7">
                  <c:v>2100</c:v>
                </c:pt>
                <c:pt idx="8">
                  <c:v>2100</c:v>
                </c:pt>
                <c:pt idx="9">
                  <c:v>2070</c:v>
                </c:pt>
                <c:pt idx="10">
                  <c:v>2100</c:v>
                </c:pt>
                <c:pt idx="11">
                  <c:v>2065</c:v>
                </c:pt>
                <c:pt idx="12">
                  <c:v>2030</c:v>
                </c:pt>
                <c:pt idx="13">
                  <c:v>2020</c:v>
                </c:pt>
                <c:pt idx="14">
                  <c:v>2095</c:v>
                </c:pt>
                <c:pt idx="15">
                  <c:v>2100</c:v>
                </c:pt>
                <c:pt idx="16">
                  <c:v>2100</c:v>
                </c:pt>
                <c:pt idx="17">
                  <c:v>2100</c:v>
                </c:pt>
              </c:numCache>
            </c:numRef>
          </c:val>
          <c:smooth val="0"/>
          <c:extLst>
            <c:ext xmlns:c16="http://schemas.microsoft.com/office/drawing/2014/chart" uri="{C3380CC4-5D6E-409C-BE32-E72D297353CC}">
              <c16:uniqueId val="{00000001-1B91-4095-8183-20D4E26BD5A7}"/>
            </c:ext>
          </c:extLst>
        </c:ser>
        <c:dLbls>
          <c:showLegendKey val="0"/>
          <c:showVal val="0"/>
          <c:showCatName val="0"/>
          <c:showSerName val="0"/>
          <c:showPercent val="0"/>
          <c:showBubbleSize val="0"/>
        </c:dLbls>
        <c:marker val="1"/>
        <c:smooth val="0"/>
        <c:axId val="922461488"/>
        <c:axId val="922458224"/>
      </c:lineChart>
      <c:catAx>
        <c:axId val="9224614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458224"/>
        <c:crosses val="autoZero"/>
        <c:auto val="1"/>
        <c:lblAlgn val="ctr"/>
        <c:lblOffset val="100"/>
        <c:noMultiLvlLbl val="0"/>
      </c:catAx>
      <c:valAx>
        <c:axId val="9224582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9224614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3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331</Words>
  <Characters>1889</Characters>
  <Application>Microsoft Office Word</Application>
  <DocSecurity>0</DocSecurity>
  <Lines>15</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Alexei Shalaginov</dc:creator>
  <cp:keywords/>
  <dc:description/>
  <cp:lastModifiedBy>Alexei Shalaginov</cp:lastModifiedBy>
  <cp:revision>1</cp:revision>
  <dcterms:created xsi:type="dcterms:W3CDTF">2017-09-05T11:25:00Z</dcterms:created>
  <dcterms:modified xsi:type="dcterms:W3CDTF">2017-09-05T11:37:00Z</dcterms:modified>
</cp:coreProperties>
</file>