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5301" w:rsidRPr="00625301" w:rsidRDefault="00625301" w:rsidP="00625301">
      <w:pPr>
        <w:pStyle w:val="11"/>
        <w:ind w:left="0"/>
        <w:rPr>
          <w:rStyle w:val="10"/>
          <w:b/>
          <w:sz w:val="24"/>
          <w:szCs w:val="24"/>
          <w:lang w:val="en-US"/>
        </w:rPr>
      </w:pPr>
      <w:r>
        <w:rPr>
          <w:rStyle w:val="10"/>
          <w:b/>
          <w:sz w:val="24"/>
          <w:szCs w:val="24"/>
          <w:lang w:val="en-US"/>
        </w:rPr>
        <w:t xml:space="preserve">The </w:t>
      </w:r>
      <w:r w:rsidRPr="00625301">
        <w:rPr>
          <w:rStyle w:val="10"/>
          <w:b/>
          <w:sz w:val="24"/>
          <w:szCs w:val="24"/>
          <w:lang w:val="en-US"/>
        </w:rPr>
        <w:t>SDN/NFV architecture</w:t>
      </w:r>
      <w:r>
        <w:rPr>
          <w:rStyle w:val="10"/>
          <w:b/>
          <w:sz w:val="24"/>
          <w:szCs w:val="24"/>
          <w:lang w:val="en-US"/>
        </w:rPr>
        <w:t xml:space="preserve"> of</w:t>
      </w:r>
      <w:r w:rsidRPr="00625301">
        <w:rPr>
          <w:rStyle w:val="10"/>
          <w:b/>
          <w:sz w:val="24"/>
          <w:szCs w:val="24"/>
          <w:lang w:val="en-US"/>
        </w:rPr>
        <w:t xml:space="preserve"> </w:t>
      </w:r>
      <w:r w:rsidRPr="00625301">
        <w:rPr>
          <w:rStyle w:val="10"/>
          <w:b/>
          <w:sz w:val="24"/>
          <w:szCs w:val="24"/>
          <w:lang w:val="en-US"/>
        </w:rPr>
        <w:t>Verizon</w:t>
      </w:r>
    </w:p>
    <w:p w:rsidR="00625301" w:rsidRDefault="00625301" w:rsidP="00625301">
      <w:r>
        <w:t>The main goal of the Verizon SDN / NFV architecture is to increase operational efficiency and agility of services, save CAPEX and APEX on the SDN / NFV COTS infrastructure, and transform the operator's business, using the synergy of both SDN and NFV technologies.</w:t>
      </w:r>
    </w:p>
    <w:p w:rsidR="00625301" w:rsidRDefault="00625301" w:rsidP="00625301">
      <w:r>
        <w:t>In the SDN part, Verizon also attaches great importance to separation of data plane and control plane</w:t>
      </w:r>
      <w:r>
        <w:t xml:space="preserve">. Verizon’s term of </w:t>
      </w:r>
      <w:r>
        <w:t xml:space="preserve">data plane </w:t>
      </w:r>
      <w:r>
        <w:t>is “</w:t>
      </w:r>
      <w:r>
        <w:t>media-plane</w:t>
      </w:r>
      <w:r>
        <w:t>”</w:t>
      </w:r>
      <w:r>
        <w:t>, thereby emphasizing the importance of video services as the basis of the operator's business, which replaces traditional voice and SMS services.</w:t>
      </w:r>
    </w:p>
    <w:p w:rsidR="00625301" w:rsidRDefault="00625301" w:rsidP="00625301">
      <w:r>
        <w:t>A special feature of the architecture is the "</w:t>
      </w:r>
      <w:r>
        <w:t>E2E</w:t>
      </w:r>
      <w:r>
        <w:t xml:space="preserve"> Orchestration", which is higher in hierarchy than the </w:t>
      </w:r>
      <w:r>
        <w:t xml:space="preserve">traditional </w:t>
      </w:r>
      <w:r>
        <w:t>NFV MANO and SDN controller. This level is responsible for coordinating the work of traditional (inherited) network elements and virtualized network elements, that is, Verizon attaches great importance to supporting the available technology for a fairly long period of its gradual replacement with virtualization technology.</w:t>
      </w:r>
    </w:p>
    <w:p w:rsidR="00625301" w:rsidRPr="00625301" w:rsidRDefault="00625301" w:rsidP="00625301">
      <w:pPr>
        <w:pStyle w:val="11"/>
        <w:ind w:left="0"/>
        <w:rPr>
          <w:rStyle w:val="10"/>
          <w:b/>
          <w:sz w:val="24"/>
          <w:szCs w:val="24"/>
          <w:lang w:val="en-US"/>
        </w:rPr>
      </w:pPr>
      <w:r w:rsidRPr="00625301">
        <w:rPr>
          <w:rStyle w:val="10"/>
          <w:b/>
          <w:sz w:val="24"/>
          <w:szCs w:val="24"/>
          <w:lang w:val="en-US"/>
        </w:rPr>
        <w:t>White Box Open Source Solution</w:t>
      </w:r>
    </w:p>
    <w:p w:rsidR="00625301" w:rsidRDefault="00625301" w:rsidP="00625301">
      <w:r>
        <w:t xml:space="preserve">On May 2, 2017, Shawn </w:t>
      </w:r>
      <w:proofErr w:type="spellStart"/>
      <w:r>
        <w:t>Hakl</w:t>
      </w:r>
      <w:proofErr w:type="spellEnd"/>
      <w:r>
        <w:t xml:space="preserve">, </w:t>
      </w:r>
      <w:r>
        <w:t xml:space="preserve">Vice President </w:t>
      </w:r>
      <w:proofErr w:type="gramStart"/>
      <w:r>
        <w:t>Of</w:t>
      </w:r>
      <w:proofErr w:type="gramEnd"/>
      <w:r>
        <w:t xml:space="preserve"> New Products and Innovations </w:t>
      </w:r>
      <w:r>
        <w:t>at Verizon, announced at the 2017 NFV World Congress in San Jose, California</w:t>
      </w:r>
      <w:r>
        <w:t>,</w:t>
      </w:r>
      <w:r>
        <w:t xml:space="preserve"> that Verizon would soon launch an </w:t>
      </w:r>
      <w:r>
        <w:t>open source solution “white box”</w:t>
      </w:r>
      <w:r>
        <w:t>, on which software solutions from many vendors can work</w:t>
      </w:r>
      <w:r>
        <w:t xml:space="preserve"> simultaneously</w:t>
      </w:r>
      <w:r>
        <w:t xml:space="preserve">. According to him, this solution is expected by many corporate customers of </w:t>
      </w:r>
      <w:r>
        <w:t>Verizon</w:t>
      </w:r>
      <w:r>
        <w:t>. He did not disclose what specific vendor technologies this solution would be based on, but noted that it would be a "mix of traditional and non-traditional suppliers".</w:t>
      </w:r>
    </w:p>
    <w:p w:rsidR="00625301" w:rsidRPr="00625301" w:rsidRDefault="00625301" w:rsidP="00625301">
      <w:pPr>
        <w:pStyle w:val="11"/>
        <w:ind w:left="0"/>
        <w:rPr>
          <w:rStyle w:val="10"/>
          <w:b/>
          <w:sz w:val="24"/>
          <w:szCs w:val="24"/>
          <w:lang w:val="en-US"/>
        </w:rPr>
      </w:pPr>
      <w:r w:rsidRPr="00625301">
        <w:rPr>
          <w:rStyle w:val="10"/>
          <w:b/>
          <w:sz w:val="24"/>
          <w:szCs w:val="24"/>
          <w:lang w:val="en-US"/>
        </w:rPr>
        <w:t>Verizon's financial results</w:t>
      </w:r>
    </w:p>
    <w:p w:rsidR="00625301" w:rsidRDefault="00625301" w:rsidP="00625301">
      <w:proofErr w:type="gramStart"/>
      <w:r>
        <w:t>At the moment</w:t>
      </w:r>
      <w:proofErr w:type="gramEnd"/>
      <w:r>
        <w:t xml:space="preserve"> of Report writing, t</w:t>
      </w:r>
      <w:r>
        <w:t>he digital transformation has not affected</w:t>
      </w:r>
      <w:r>
        <w:t xml:space="preserve"> </w:t>
      </w:r>
      <w:r>
        <w:t>the results of financial activity Verizon</w:t>
      </w:r>
      <w:r>
        <w:t xml:space="preserve"> yet</w:t>
      </w:r>
      <w:r>
        <w:t>.</w:t>
      </w:r>
    </w:p>
    <w:p w:rsidR="00625301" w:rsidRDefault="00625301" w:rsidP="00625301">
      <w:r>
        <w:t> </w:t>
      </w:r>
      <w:r>
        <w:rPr>
          <w:noProof/>
        </w:rPr>
        <w:drawing>
          <wp:inline distT="0" distB="0" distL="0" distR="0" wp14:anchorId="0A1697D1" wp14:editId="1FCAEF8A">
            <wp:extent cx="5940425" cy="817880"/>
            <wp:effectExtent l="0" t="0" r="3175" b="127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0425" cy="817880"/>
                    </a:xfrm>
                    <a:prstGeom prst="rect">
                      <a:avLst/>
                    </a:prstGeom>
                  </pic:spPr>
                </pic:pic>
              </a:graphicData>
            </a:graphic>
          </wp:inline>
        </w:drawing>
      </w:r>
    </w:p>
    <w:p w:rsidR="00625301" w:rsidRDefault="00625301" w:rsidP="00625301">
      <w:r>
        <w:t>Source: Verizon.</w:t>
      </w:r>
    </w:p>
    <w:p w:rsidR="00625301" w:rsidRDefault="00625301" w:rsidP="00625301">
      <w:r>
        <w:t>Fig. 4.23. The financial results of Verizon pf 20</w:t>
      </w:r>
      <w:r>
        <w:t>14 - 2016 (million US dollars).</w:t>
      </w:r>
    </w:p>
    <w:p w:rsidR="00625301" w:rsidRDefault="00625301" w:rsidP="00625301">
      <w:r>
        <w:t>The figure below shows a comparison of AT &amp; T's revenue growth from fixed-line services, compared to Verizon's revenue:</w:t>
      </w:r>
    </w:p>
    <w:p w:rsidR="00625301" w:rsidRDefault="00625301" w:rsidP="00625301">
      <w:r>
        <w:lastRenderedPageBreak/>
        <w:t> </w:t>
      </w:r>
      <w:r>
        <w:rPr>
          <w:noProof/>
        </w:rPr>
        <w:drawing>
          <wp:inline distT="0" distB="0" distL="0" distR="0" wp14:anchorId="16AC2377" wp14:editId="64D94181">
            <wp:extent cx="4572000" cy="2743200"/>
            <wp:effectExtent l="0" t="0" r="0" b="0"/>
            <wp:docPr id="30" name="Диаграмма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625301" w:rsidRDefault="00625301" w:rsidP="00625301">
      <w:r>
        <w:t>Source: STL Partners</w:t>
      </w:r>
    </w:p>
    <w:p w:rsidR="00C72595" w:rsidRDefault="00625301" w:rsidP="00625301">
      <w:r>
        <w:t>Fig. 4.24. Comparison of r</w:t>
      </w:r>
      <w:bookmarkStart w:id="0" w:name="_GoBack"/>
      <w:bookmarkEnd w:id="0"/>
      <w:r>
        <w:t xml:space="preserve">evenue growth </w:t>
      </w:r>
      <w:r w:rsidR="00044A74">
        <w:t>of</w:t>
      </w:r>
      <w:r>
        <w:t xml:space="preserve"> AT&amp;</w:t>
      </w:r>
      <w:r>
        <w:t xml:space="preserve">T and Verizon </w:t>
      </w:r>
      <w:r w:rsidR="00044A74">
        <w:t>in</w:t>
      </w:r>
      <w:r>
        <w:t xml:space="preserve"> 2012</w:t>
      </w:r>
      <w:r>
        <w:t>Q1</w:t>
      </w:r>
      <w:r>
        <w:t xml:space="preserve"> </w:t>
      </w:r>
      <w:r>
        <w:t>–</w:t>
      </w:r>
      <w:r>
        <w:t xml:space="preserve"> 2016</w:t>
      </w:r>
      <w:r>
        <w:t>Q2</w:t>
      </w:r>
      <w:r w:rsidR="00044A74">
        <w:t>.</w:t>
      </w:r>
    </w:p>
    <w:sectPr w:rsidR="00C725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5301"/>
    <w:rsid w:val="0002652C"/>
    <w:rsid w:val="00044A74"/>
    <w:rsid w:val="000C0D14"/>
    <w:rsid w:val="00323D6F"/>
    <w:rsid w:val="00391C9A"/>
    <w:rsid w:val="00451F56"/>
    <w:rsid w:val="00625301"/>
    <w:rsid w:val="00825A39"/>
    <w:rsid w:val="00C72595"/>
    <w:rsid w:val="00D711B9"/>
    <w:rsid w:val="00D85E09"/>
    <w:rsid w:val="00DA1A7D"/>
    <w:rsid w:val="00E279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9E4F1"/>
  <w15:chartTrackingRefBased/>
  <w15:docId w15:val="{33AE0C54-BF52-4D31-BC24-E5A10D162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uiPriority w:val="9"/>
    <w:qFormat/>
    <w:rsid w:val="00625301"/>
    <w:pPr>
      <w:keepNext/>
      <w:keepLines/>
      <w:numPr>
        <w:numId w:val="1"/>
      </w:numPr>
      <w:tabs>
        <w:tab w:val="clear" w:pos="360"/>
      </w:tabs>
      <w:spacing w:before="240" w:after="0"/>
      <w:ind w:left="720" w:hanging="360"/>
      <w:outlineLvl w:val="0"/>
    </w:pPr>
    <w:rPr>
      <w:rFonts w:asciiTheme="majorHAnsi" w:eastAsiaTheme="majorEastAsia" w:hAnsiTheme="majorHAnsi" w:cstheme="majorBidi"/>
      <w:color w:val="2F5496" w:themeColor="accent1" w:themeShade="BF"/>
      <w:sz w:val="32"/>
      <w:szCs w:val="32"/>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uiPriority w:val="34"/>
    <w:qFormat/>
    <w:rsid w:val="00625301"/>
    <w:pPr>
      <w:ind w:left="720"/>
      <w:contextualSpacing/>
    </w:pPr>
    <w:rPr>
      <w:lang w:val="ru-RU"/>
    </w:rPr>
  </w:style>
  <w:style w:type="character" w:customStyle="1" w:styleId="10">
    <w:name w:val="Заголовок 1 Знак"/>
    <w:basedOn w:val="a0"/>
    <w:link w:val="1"/>
    <w:uiPriority w:val="9"/>
    <w:qFormat/>
    <w:rsid w:val="00625301"/>
    <w:rPr>
      <w:rFonts w:asciiTheme="majorHAnsi" w:eastAsiaTheme="majorEastAsia" w:hAnsiTheme="majorHAnsi" w:cstheme="majorBidi"/>
      <w:color w:val="2F5496" w:themeColor="accent1" w:themeShade="BF"/>
      <w:sz w:val="32"/>
      <w:szCs w:val="32"/>
      <w:lang w:val="ru-RU"/>
    </w:rPr>
  </w:style>
  <w:style w:type="character" w:customStyle="1" w:styleId="110">
    <w:name w:val="Заголовок 1 Знак1"/>
    <w:basedOn w:val="a0"/>
    <w:uiPriority w:val="9"/>
    <w:rsid w:val="0062530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hart" Target="charts/chart1.xml"/><Relationship Id="rId4"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Fixed Network Revenue,</a:t>
            </a:r>
            <a:r>
              <a:rPr lang="ru-RU" baseline="0"/>
              <a:t> </a:t>
            </a:r>
            <a:r>
              <a:rPr lang="en-US" baseline="0"/>
              <a:t>million USD</a:t>
            </a:r>
            <a:endParaRPr lang="ru-R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Лист1!$E$3</c:f>
              <c:strCache>
                <c:ptCount val="1"/>
                <c:pt idx="0">
                  <c:v>AT&amp;T</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Лист1!$D$4:$D$21</c:f>
              <c:strCache>
                <c:ptCount val="18"/>
                <c:pt idx="0">
                  <c:v>2012Q1</c:v>
                </c:pt>
                <c:pt idx="1">
                  <c:v>2012Q2</c:v>
                </c:pt>
                <c:pt idx="2">
                  <c:v>2012Q3</c:v>
                </c:pt>
                <c:pt idx="3">
                  <c:v>2012Q4</c:v>
                </c:pt>
                <c:pt idx="4">
                  <c:v>2013Q1</c:v>
                </c:pt>
                <c:pt idx="5">
                  <c:v>2013Q2</c:v>
                </c:pt>
                <c:pt idx="6">
                  <c:v>2013Q3</c:v>
                </c:pt>
                <c:pt idx="7">
                  <c:v>2013Q4</c:v>
                </c:pt>
                <c:pt idx="8">
                  <c:v>2014Q1</c:v>
                </c:pt>
                <c:pt idx="9">
                  <c:v>2014Q2</c:v>
                </c:pt>
                <c:pt idx="10">
                  <c:v>2014Q3</c:v>
                </c:pt>
                <c:pt idx="11">
                  <c:v>2014Q4</c:v>
                </c:pt>
                <c:pt idx="12">
                  <c:v>2015Q1</c:v>
                </c:pt>
                <c:pt idx="13">
                  <c:v>2015Q2</c:v>
                </c:pt>
                <c:pt idx="14">
                  <c:v>2015Q3</c:v>
                </c:pt>
                <c:pt idx="15">
                  <c:v>2015Q4</c:v>
                </c:pt>
                <c:pt idx="16">
                  <c:v>2016Q1</c:v>
                </c:pt>
                <c:pt idx="17">
                  <c:v>2016Q2</c:v>
                </c:pt>
              </c:strCache>
            </c:strRef>
          </c:cat>
          <c:val>
            <c:numRef>
              <c:f>Лист1!$E$4:$E$21</c:f>
              <c:numCache>
                <c:formatCode>General</c:formatCode>
                <c:ptCount val="18"/>
                <c:pt idx="0">
                  <c:v>1510</c:v>
                </c:pt>
                <c:pt idx="1">
                  <c:v>1515</c:v>
                </c:pt>
                <c:pt idx="2">
                  <c:v>1550</c:v>
                </c:pt>
                <c:pt idx="3">
                  <c:v>1560</c:v>
                </c:pt>
                <c:pt idx="4">
                  <c:v>1950</c:v>
                </c:pt>
                <c:pt idx="5">
                  <c:v>2100</c:v>
                </c:pt>
                <c:pt idx="6">
                  <c:v>2140</c:v>
                </c:pt>
                <c:pt idx="7">
                  <c:v>2250</c:v>
                </c:pt>
                <c:pt idx="8">
                  <c:v>2300</c:v>
                </c:pt>
                <c:pt idx="9">
                  <c:v>2300</c:v>
                </c:pt>
                <c:pt idx="10">
                  <c:v>2350</c:v>
                </c:pt>
                <c:pt idx="11">
                  <c:v>2500</c:v>
                </c:pt>
                <c:pt idx="12">
                  <c:v>2550</c:v>
                </c:pt>
                <c:pt idx="13">
                  <c:v>2600</c:v>
                </c:pt>
                <c:pt idx="14">
                  <c:v>2700</c:v>
                </c:pt>
                <c:pt idx="15">
                  <c:v>2750</c:v>
                </c:pt>
                <c:pt idx="16">
                  <c:v>2770</c:v>
                </c:pt>
                <c:pt idx="17">
                  <c:v>2850</c:v>
                </c:pt>
              </c:numCache>
            </c:numRef>
          </c:val>
          <c:smooth val="0"/>
          <c:extLst>
            <c:ext xmlns:c16="http://schemas.microsoft.com/office/drawing/2014/chart" uri="{C3380CC4-5D6E-409C-BE32-E72D297353CC}">
              <c16:uniqueId val="{00000000-F646-4EB7-A1BB-8B6384A0B051}"/>
            </c:ext>
          </c:extLst>
        </c:ser>
        <c:ser>
          <c:idx val="1"/>
          <c:order val="1"/>
          <c:tx>
            <c:strRef>
              <c:f>Лист1!$F$3</c:f>
              <c:strCache>
                <c:ptCount val="1"/>
                <c:pt idx="0">
                  <c:v>Verizon</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Лист1!$D$4:$D$21</c:f>
              <c:strCache>
                <c:ptCount val="18"/>
                <c:pt idx="0">
                  <c:v>2012Q1</c:v>
                </c:pt>
                <c:pt idx="1">
                  <c:v>2012Q2</c:v>
                </c:pt>
                <c:pt idx="2">
                  <c:v>2012Q3</c:v>
                </c:pt>
                <c:pt idx="3">
                  <c:v>2012Q4</c:v>
                </c:pt>
                <c:pt idx="4">
                  <c:v>2013Q1</c:v>
                </c:pt>
                <c:pt idx="5">
                  <c:v>2013Q2</c:v>
                </c:pt>
                <c:pt idx="6">
                  <c:v>2013Q3</c:v>
                </c:pt>
                <c:pt idx="7">
                  <c:v>2013Q4</c:v>
                </c:pt>
                <c:pt idx="8">
                  <c:v>2014Q1</c:v>
                </c:pt>
                <c:pt idx="9">
                  <c:v>2014Q2</c:v>
                </c:pt>
                <c:pt idx="10">
                  <c:v>2014Q3</c:v>
                </c:pt>
                <c:pt idx="11">
                  <c:v>2014Q4</c:v>
                </c:pt>
                <c:pt idx="12">
                  <c:v>2015Q1</c:v>
                </c:pt>
                <c:pt idx="13">
                  <c:v>2015Q2</c:v>
                </c:pt>
                <c:pt idx="14">
                  <c:v>2015Q3</c:v>
                </c:pt>
                <c:pt idx="15">
                  <c:v>2015Q4</c:v>
                </c:pt>
                <c:pt idx="16">
                  <c:v>2016Q1</c:v>
                </c:pt>
                <c:pt idx="17">
                  <c:v>2016Q2</c:v>
                </c:pt>
              </c:strCache>
            </c:strRef>
          </c:cat>
          <c:val>
            <c:numRef>
              <c:f>Лист1!$F$4:$F$21</c:f>
              <c:numCache>
                <c:formatCode>General</c:formatCode>
                <c:ptCount val="18"/>
                <c:pt idx="0">
                  <c:v>1970</c:v>
                </c:pt>
                <c:pt idx="1">
                  <c:v>1980</c:v>
                </c:pt>
                <c:pt idx="2">
                  <c:v>2000</c:v>
                </c:pt>
                <c:pt idx="3">
                  <c:v>2100</c:v>
                </c:pt>
                <c:pt idx="4">
                  <c:v>2090</c:v>
                </c:pt>
                <c:pt idx="5">
                  <c:v>2100</c:v>
                </c:pt>
                <c:pt idx="6">
                  <c:v>2150</c:v>
                </c:pt>
                <c:pt idx="7">
                  <c:v>2100</c:v>
                </c:pt>
                <c:pt idx="8">
                  <c:v>2100</c:v>
                </c:pt>
                <c:pt idx="9">
                  <c:v>2070</c:v>
                </c:pt>
                <c:pt idx="10">
                  <c:v>2100</c:v>
                </c:pt>
                <c:pt idx="11">
                  <c:v>2065</c:v>
                </c:pt>
                <c:pt idx="12">
                  <c:v>2030</c:v>
                </c:pt>
                <c:pt idx="13">
                  <c:v>2020</c:v>
                </c:pt>
                <c:pt idx="14">
                  <c:v>2095</c:v>
                </c:pt>
                <c:pt idx="15">
                  <c:v>2100</c:v>
                </c:pt>
                <c:pt idx="16">
                  <c:v>2100</c:v>
                </c:pt>
                <c:pt idx="17">
                  <c:v>2100</c:v>
                </c:pt>
              </c:numCache>
            </c:numRef>
          </c:val>
          <c:smooth val="0"/>
          <c:extLst>
            <c:ext xmlns:c16="http://schemas.microsoft.com/office/drawing/2014/chart" uri="{C3380CC4-5D6E-409C-BE32-E72D297353CC}">
              <c16:uniqueId val="{00000001-F646-4EB7-A1BB-8B6384A0B051}"/>
            </c:ext>
          </c:extLst>
        </c:ser>
        <c:dLbls>
          <c:showLegendKey val="0"/>
          <c:showVal val="0"/>
          <c:showCatName val="0"/>
          <c:showSerName val="0"/>
          <c:showPercent val="0"/>
          <c:showBubbleSize val="0"/>
        </c:dLbls>
        <c:marker val="1"/>
        <c:smooth val="0"/>
        <c:axId val="922461488"/>
        <c:axId val="922458224"/>
      </c:lineChart>
      <c:catAx>
        <c:axId val="922461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22458224"/>
        <c:crosses val="autoZero"/>
        <c:auto val="1"/>
        <c:lblAlgn val="ctr"/>
        <c:lblOffset val="100"/>
        <c:noMultiLvlLbl val="0"/>
      </c:catAx>
      <c:valAx>
        <c:axId val="9224582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224614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311</Words>
  <Characters>1777</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Alexei Shalaginov</dc:creator>
  <cp:keywords/>
  <dc:description/>
  <cp:lastModifiedBy>Alexei Shalaginov</cp:lastModifiedBy>
  <cp:revision>2</cp:revision>
  <dcterms:created xsi:type="dcterms:W3CDTF">2017-09-05T11:27:00Z</dcterms:created>
  <dcterms:modified xsi:type="dcterms:W3CDTF">2017-09-05T11:39:00Z</dcterms:modified>
</cp:coreProperties>
</file>